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34"/>
          <w:szCs w:val="34"/>
        </w:rPr>
      </w:pPr>
      <w:r w:rsidDel="00000000" w:rsidR="00000000" w:rsidRPr="00000000">
        <w:rPr>
          <w:b w:val="1"/>
          <w:sz w:val="34"/>
          <w:szCs w:val="34"/>
          <w:rtl w:val="0"/>
        </w:rPr>
        <w:t xml:space="preserve">How to get paid </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Montserrat" w:cs="Montserrat" w:eastAsia="Montserrat" w:hAnsi="Montserrat"/>
          <w:sz w:val="24"/>
          <w:szCs w:val="24"/>
          <w:rtl w:val="0"/>
        </w:rPr>
        <w:t xml:space="preserve">1. Once you have a contract uploaded against a property in Agentbox please check the commission you have entered in the commission tab on the property card corresponding with the commission you have entered on the Sales Advice and the Sales Authority. The Account Sale/Tax Invoice for settlement is automatically generated from the details that have been entered into Agentbox so it is important to make sure commission percentage is correct. Tiered commissions can also be accommodated in Agentbox. If commission fee has been renegotiated and needs to be altered  please email contracts@expaustralia.com.au</w:t>
      </w: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Deposits – Please try to obtain sufficient deposit to cover the commission. This makes it a lot simpler and faster at settlement rather than waiting on cheques from solicitors and clearance of cheques. Also if the marketing campaign has been funded by Campaign Flow you will need to ensure enough deposit is obtained to cover the cost of that funding as this needs to be disbursed immediately after settlement to avoid incurring further interest charges. Please also instruct sellers and buyers to use the property address as the reference when they are depositing funds into our trust account so that funds can be easily identified.</w:t>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 View your commission and deductions in Agentbox on the commissions tab of the property card by scrolling down the page. </w:t>
      </w:r>
    </w:p>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color w:val="212121"/>
          <w:sz w:val="24"/>
          <w:szCs w:val="24"/>
        </w:rPr>
      </w:pPr>
      <w:r w:rsidDel="00000000" w:rsidR="00000000" w:rsidRPr="00000000">
        <w:rPr>
          <w:rFonts w:ascii="Montserrat" w:cs="Montserrat" w:eastAsia="Montserrat" w:hAnsi="Montserrat"/>
          <w:sz w:val="24"/>
          <w:szCs w:val="24"/>
          <w:rtl w:val="0"/>
        </w:rPr>
        <w:t xml:space="preserve">4. Conjunction Sale - Please ensure the conjunction agent has been added to the property and the commission percentage split entered. Please forward the conjunction agents invoice to </w:t>
      </w:r>
      <w:hyperlink r:id="rId6">
        <w:r w:rsidDel="00000000" w:rsidR="00000000" w:rsidRPr="00000000">
          <w:rPr>
            <w:rFonts w:ascii="Montserrat" w:cs="Montserrat" w:eastAsia="Montserrat" w:hAnsi="Montserrat"/>
            <w:color w:val="1155cc"/>
            <w:sz w:val="24"/>
            <w:szCs w:val="24"/>
            <w:u w:val="single"/>
            <w:rtl w:val="0"/>
          </w:rPr>
          <w:t xml:space="preserve">contracts@expaustralia.com.au</w:t>
        </w:r>
      </w:hyperlink>
      <w:r w:rsidDel="00000000" w:rsidR="00000000" w:rsidRPr="00000000">
        <w:rPr>
          <w:rtl w:val="0"/>
        </w:rPr>
      </w:r>
    </w:p>
    <w:p w:rsidR="00000000" w:rsidDel="00000000" w:rsidP="00000000" w:rsidRDefault="00000000" w:rsidRPr="00000000" w14:paraId="0000000E">
      <w:pPr>
        <w:rPr>
          <w:rFonts w:ascii="Montserrat" w:cs="Montserrat" w:eastAsia="Montserrat" w:hAnsi="Montserrat"/>
          <w:color w:val="212121"/>
          <w:sz w:val="24"/>
          <w:szCs w:val="24"/>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color w:val="212121"/>
          <w:sz w:val="24"/>
          <w:szCs w:val="24"/>
        </w:rPr>
      </w:pPr>
      <w:r w:rsidDel="00000000" w:rsidR="00000000" w:rsidRPr="00000000">
        <w:rPr>
          <w:rFonts w:ascii="Montserrat" w:cs="Montserrat" w:eastAsia="Montserrat" w:hAnsi="Montserrat"/>
          <w:color w:val="212121"/>
          <w:sz w:val="24"/>
          <w:szCs w:val="24"/>
          <w:rtl w:val="0"/>
        </w:rPr>
        <w:t xml:space="preserve">5. Sellers Names - When adding sellers and buyers details into Agentbox please ensure the names are entered in full. The account sale/tax invoice is automatically populated from the details that have been entered into Agentbox. Also if it is a company please ensure the details are entered.</w:t>
      </w:r>
    </w:p>
    <w:p w:rsidR="00000000" w:rsidDel="00000000" w:rsidP="00000000" w:rsidRDefault="00000000" w:rsidRPr="00000000" w14:paraId="00000010">
      <w:pPr>
        <w:rPr>
          <w:rFonts w:ascii="Montserrat" w:cs="Montserrat" w:eastAsia="Montserrat" w:hAnsi="Montserrat"/>
          <w:color w:val="212121"/>
          <w:sz w:val="24"/>
          <w:szCs w:val="24"/>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color w:val="212121"/>
          <w:sz w:val="24"/>
          <w:szCs w:val="24"/>
        </w:rPr>
      </w:pPr>
      <w:r w:rsidDel="00000000" w:rsidR="00000000" w:rsidRPr="00000000">
        <w:rPr>
          <w:rFonts w:ascii="Montserrat" w:cs="Montserrat" w:eastAsia="Montserrat" w:hAnsi="Montserrat"/>
          <w:color w:val="212121"/>
          <w:sz w:val="24"/>
          <w:szCs w:val="24"/>
          <w:rtl w:val="0"/>
        </w:rPr>
        <w:t xml:space="preserve">6. Solicitors details - Please ensure solicitors details are entered into Agentbox as contacts for both parties. This way I can securely add their trust account details to their contact card enabling quicker disbursements as required.</w:t>
      </w:r>
    </w:p>
    <w:p w:rsidR="00000000" w:rsidDel="00000000" w:rsidP="00000000" w:rsidRDefault="00000000" w:rsidRPr="00000000" w14:paraId="00000012">
      <w:pPr>
        <w:rPr>
          <w:rFonts w:ascii="Montserrat" w:cs="Montserrat" w:eastAsia="Montserrat" w:hAnsi="Montserrat"/>
          <w:color w:val="212121"/>
          <w:sz w:val="24"/>
          <w:szCs w:val="24"/>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color w:val="212121"/>
          <w:sz w:val="24"/>
          <w:szCs w:val="24"/>
        </w:rPr>
      </w:pPr>
      <w:r w:rsidDel="00000000" w:rsidR="00000000" w:rsidRPr="00000000">
        <w:rPr>
          <w:rFonts w:ascii="Montserrat" w:cs="Montserrat" w:eastAsia="Montserrat" w:hAnsi="Montserrat"/>
          <w:color w:val="212121"/>
          <w:sz w:val="24"/>
          <w:szCs w:val="24"/>
          <w:rtl w:val="0"/>
        </w:rPr>
        <w:t xml:space="preserve">7. Sellers Account Details – Obtain the sellers account details once you have a contract in place. This is done by utilising the securechange portal</w:t>
      </w:r>
      <w:hyperlink r:id="rId7">
        <w:r w:rsidDel="00000000" w:rsidR="00000000" w:rsidRPr="00000000">
          <w:rPr>
            <w:rFonts w:ascii="Montserrat" w:cs="Montserrat" w:eastAsia="Montserrat" w:hAnsi="Montserrat"/>
            <w:color w:val="212121"/>
            <w:sz w:val="24"/>
            <w:szCs w:val="24"/>
            <w:rtl w:val="0"/>
          </w:rPr>
          <w:t xml:space="preserve"> </w:t>
        </w:r>
      </w:hyperlink>
      <w:hyperlink r:id="rId8">
        <w:r w:rsidDel="00000000" w:rsidR="00000000" w:rsidRPr="00000000">
          <w:rPr>
            <w:rFonts w:ascii="Montserrat" w:cs="Montserrat" w:eastAsia="Montserrat" w:hAnsi="Montserrat"/>
            <w:color w:val="1155cc"/>
            <w:sz w:val="24"/>
            <w:szCs w:val="24"/>
            <w:rtl w:val="0"/>
          </w:rPr>
          <w:t xml:space="preserve">https://securexchange.com.au/secure/dashboard</w:t>
        </w:r>
      </w:hyperlink>
      <w:r w:rsidDel="00000000" w:rsidR="00000000" w:rsidRPr="00000000">
        <w:rPr>
          <w:rFonts w:ascii="Montserrat" w:cs="Montserrat" w:eastAsia="Montserrat" w:hAnsi="Montserrat"/>
          <w:color w:val="212121"/>
          <w:sz w:val="24"/>
          <w:szCs w:val="24"/>
          <w:rtl w:val="0"/>
        </w:rPr>
        <w:t xml:space="preserve"> This ensures the disbursement of balance of funds at settlement is able to be transferred to the seller immediately.</w:t>
      </w:r>
    </w:p>
    <w:p w:rsidR="00000000" w:rsidDel="00000000" w:rsidP="00000000" w:rsidRDefault="00000000" w:rsidRPr="00000000" w14:paraId="00000014">
      <w:pPr>
        <w:rPr>
          <w:rFonts w:ascii="Montserrat" w:cs="Montserrat" w:eastAsia="Montserrat" w:hAnsi="Montserrat"/>
          <w:color w:val="212121"/>
          <w:sz w:val="24"/>
          <w:szCs w:val="24"/>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color w:val="212121"/>
          <w:sz w:val="24"/>
          <w:szCs w:val="24"/>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color w:val="212121"/>
          <w:sz w:val="24"/>
          <w:szCs w:val="24"/>
        </w:rPr>
      </w:pPr>
      <w:r w:rsidDel="00000000" w:rsidR="00000000" w:rsidRPr="00000000">
        <w:rPr>
          <w:rFonts w:ascii="Montserrat" w:cs="Montserrat" w:eastAsia="Montserrat" w:hAnsi="Montserrat"/>
          <w:color w:val="212121"/>
          <w:sz w:val="24"/>
          <w:szCs w:val="24"/>
          <w:rtl w:val="0"/>
        </w:rPr>
        <w:t xml:space="preserve">8. If you are funding the marketing on behalf of your client you will need to have the seller reimburse you directly prior to settlement. We are unable to reimburse from balance trust funds on settlement for invoices that are not in our company name</w:t>
      </w:r>
    </w:p>
    <w:p w:rsidR="00000000" w:rsidDel="00000000" w:rsidP="00000000" w:rsidRDefault="00000000" w:rsidRPr="00000000" w14:paraId="00000017">
      <w:pPr>
        <w:rPr>
          <w:rFonts w:ascii="Montserrat" w:cs="Montserrat" w:eastAsia="Montserrat" w:hAnsi="Montserrat"/>
          <w:color w:val="212121"/>
          <w:sz w:val="24"/>
          <w:szCs w:val="24"/>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b w:val="1"/>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r w:rsidDel="00000000" w:rsidR="00000000" w:rsidRPr="00000000">
      <w:rPr/>
      <w:drawing>
        <wp:inline distB="114300" distT="114300" distL="114300" distR="114300">
          <wp:extent cx="3157538" cy="21050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157538" cy="2105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contracts@expaustralia.com.au" TargetMode="External"/><Relationship Id="rId7" Type="http://schemas.openxmlformats.org/officeDocument/2006/relationships/hyperlink" Target="https://securexchange.com.au/secure/dashboard" TargetMode="External"/><Relationship Id="rId8" Type="http://schemas.openxmlformats.org/officeDocument/2006/relationships/hyperlink" Target="https://securexchange.com.au/secure/dashboa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